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四川银行理财产品过往业绩公告</w:t>
      </w:r>
      <w:r>
        <w:rPr>
          <w:rFonts w:ascii="黑体" w:hAnsi="黑体" w:eastAsia="黑体"/>
          <w:sz w:val="36"/>
          <w:szCs w:val="36"/>
        </w:rPr>
        <w:br w:type="textWrapping"/>
      </w:r>
      <w:r>
        <w:rPr>
          <w:rFonts w:hint="eastAsia" w:ascii="黑体" w:hAnsi="黑体" w:eastAsia="黑体"/>
          <w:sz w:val="36"/>
          <w:szCs w:val="36"/>
        </w:rPr>
        <w:t>（2024年7月）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截至2024年7月31日，我行存续期满1个月的理财产品有160只。根据2024年7月31日净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0"/>
        </w:rPr>
        <w:t>值情况，各理财产品过往业绩情况如下</w:t>
      </w:r>
      <w:r>
        <w:rPr>
          <w:rFonts w:ascii="仿宋" w:hAnsi="仿宋" w:eastAsia="仿宋"/>
          <w:sz w:val="28"/>
          <w:szCs w:val="30"/>
        </w:rPr>
        <w:t>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一、成立1个月以上但不满1年的理财产品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484"/>
        <w:gridCol w:w="1691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成立以来年化收益率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净值型系列封闭式第295期人民币理财产品（中秋特别款）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3.85%-4.45%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净值型系列封闭式第301期人民币理财产品（先到利C款按年分红）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净值型系列封闭式第302期人民币理财产品（先到利C款按年分红）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净值型系列封闭式第303期人民币理财产品（先到利C款按年分红）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2023/8/30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净值型系列封闭式第304期人民币理财产品（先到利C款按年分红）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净值型系列封闭式第305期人民币理财产品（先到利C款按年分红）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净值型系列封闭式第310期人民币理财产品（拥军特别款）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净值型系列封闭式第313期人民币理财产品（七夕特别款）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净值型系列封闭式第315期人民币理财产品（教师节特别款）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净值型系列封闭式第317期人民币理财产品（秋分特别款）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净值型系列封闭式第319期人民币理财产品（金色花城）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净值型系列封闭式第321期人民币理财产品（国庆献礼）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净值型系列封闭式第322期人民币理财产品（雅安分行感恩特别款）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2023/12/14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净值型系列封闭式第325期人民币理财产品（龙年招财贺岁龙腾四海）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2024/1/31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净值型系列封闭式第326期人民币理财产品（女神节特别款）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净值型系列封闭式第327期人民币理财产品（春意盎然）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净值型系列封闭式第328期人民币理财产品（劳动节特别款）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净值型系列封闭式第341期人民币理财产品（先到利C款按年分红）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净值型系列封闭式第342期人民币理财产品（先到利C款按年分红）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净值型系列封闭式第343期人民币理财产品（先到利C款按年分红）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净值型系列封闭式第344期人民币理财产品（先到利C款按年分红）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净值型系列封闭式第345期人民币理财产品（先到利C款按年分红）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5.85%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净值型系列封闭式第346期人民币理财产品（先到利C款按年分红）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6.20%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净值型系列封闭式第347期人民币理财产品（先到利C款按年分红）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6.09%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净值型系列封闭式第348期人民币理财产品（先到利C款按年分红）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6.17%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净值型系列封闭式第351期人民币理财产品（行庆特别款）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净值型系列封闭式第352期人民币理财产品（凉山彝族年）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3.75%-4.35%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净值型系列封闭式第353期人民币理财产品（尊师理财）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净值型系列封闭式第354期人民币理财产品（达州分行三周年特别款）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净值型系列封闭式第355期人民币理财产品（成分两周岁别特款）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净值型系列封闭式第356期人民币理财产品（元旦特别款）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净值型系列封闭式第357期人民币理财产品（跨年特别款）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净值型系列封闭式第358期人民币理财产品（暖警理财）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净值型系列封闭式第359期人民币理财产品（小寒特别款）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净值型系列封闭式第361期人民币理财产品（大寒特别款）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净值型系列封闭式第362期人民币理财产品（幸福花惠特别款）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2024/1/30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净值型系列封闭式第363期人民币理财产品（新春暖阳理财）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净值型系列封闭式第364期人民币理财产品（祥龙献瑞）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净值型系列封闭式第365期人民币理财产品（飞龙在天）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3.55%-4.15%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净值型系列封闭式第366期人民币理财产品（开工大吉）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净值型系列封闭式第367期人民币理财产品（元宵特别款）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3.45%-4.05%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净值型系列封闭式第368期人民币理财产品（尊师理财）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3.48%-4.08%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净值型系列封闭式第369期人民币理财产品（惊蛰特别款）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净值型系列封闭式第370期人民币理财产品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净值型系列封闭式第378期人民币理财产品（心动蓉城）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3.27%-4.27%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净值型系列封闭式第379期人民币理财产品（金凉山）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净值型系列封闭式第380期人民币理财产品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3.27%-4.27%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净值型系列封闭式第383期人民币理财产品（新客专享）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净值型系列封闭式第384期人民币理财产品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2.8%-3.5%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净值型系列封闭式第385期人民币理财产品（新客专享）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净值型系列封闭式第391期人民币理财产品（巴风蜀韵）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净值型系列封闭式第392期人民币理财产品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净值型系列封闭式第393期人民币理财产品（春分特别款）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净值型系列封闭式第395期人民币理财产品(春暖花开)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净值型系列封闭式第396期人民币理财产品(春风得意)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净值型系列封闭式第397期人民币理财产品（金凉山）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净值型系列封闭式第398期人民币理财产品（金索玛）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净值型系列封闭式第399期人民币理财产品（谷雨特别款）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净值型系列封闭式第400期人民币理财产品（热辣春日）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净值型系列封闭式第401期人民币理财产品（立夏特别款）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净值型系列封闭式第402期人民币理财产品（蓉城特别款）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3.08%-3.88%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2024/5/15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3.12%-3.92%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净值型系列封闭式第404期人民币理财产品（金喜初夏）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净值型系列封闭式第405期人民币理财产品（小满特别款）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3.05%-3.95%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净值型系列封闭式第406期人民币理财产品（芒种特别款）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净值型系列封闭式第407期人民币理财产品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净值型系列封闭式第408期人民币理财产品（端午特别款）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2024/6/13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3%-4%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二、成立1年以上但不满6年的理财产品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04"/>
        <w:gridCol w:w="1134"/>
        <w:gridCol w:w="1134"/>
        <w:gridCol w:w="1134"/>
        <w:gridCol w:w="1134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历史年化收益率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1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2020年度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2024年度（截至7月31日）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川银系列“美日利”人民币理财产品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2020/9/3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2.33%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无业绩比较基准（2020/9/3-2022/10/26、2022/12/31-至今）；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1.7%-2.7%（2022/10/27-2022/12/30）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四川银行定开系列1个月1号净值型理财产品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2022/9/15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3.07%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2.84%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3.1%-3.5%（2022/9/15-2023/2/20）；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2.7%-3.6%（2023/2/21-2024/3/18）；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2.6%-3.2%（2024/3/19-2024/6/17）；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2.5%-3.2%（2024/6/18-至今）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四川银行定开系列1个月2号净值型理财产品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3.1%-3.5%（2022/9/28-2023/2/27）；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2.7%-3.6%（2023/2/28-2024/3/27）；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2.6%-3.2%（2024/3/28-2024/6/27）；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2.5%-3.2%（2024/6/28-至今）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1.63%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3.32%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3.0%-3.6%（2024/4/8-2024/7/3）；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2.8%-3.5%（2024/7/4-至今）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1.94%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4.36%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3.8%-4.0%（2022/4/14-2023/4/12）；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3.2%-4.2%（2023/4/13-2024/4/10）；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3.0%-3.6%（2024/4/11-2024/7/10）；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2.8%-3.5%（2024/7/11-至今）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四川银行定开系列3个月3号净值型理财产品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3.8%-4.0%（2022/4/21-2023/4/19）；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3.2%-4.2%（2023/4/20-2024/4/17）；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3.0%-3.6%（2024/4/18-2024/7/17）；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2.8%-3.5%（2024/7/18-至今）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四川银行定开系列3个月4号净值型理财产品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1.92%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3.8%-4.0%（2022/4/28-2023/4/26）；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3.2%-4.2%（2023/4/27-2024/4/24）；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3.0%-3.6%（2024/4/25-2024/7/24）；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2.8%-3.5%（2024/7/25-至今）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四川银行定开系列3个月5号净值型理财产品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3.8%-4.0%（2022/5/6-2023/2/1）；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3.2%-4.2%（2023/2/2-2024/4/29）；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3.0%-3.6%（2024/4/30-至今）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四川银行定开系列3个月6号净值型理财产品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3.32%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3.8%-4.0%（2022/5/12-2023/2/8）；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3.2%-4.2%（2023/2/9-2024/5/8）；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四川银行定开系列3个月7号净值型理财产品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3.8%-4.0%（2022/5/19-2023/2/15）；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四川银行定开系列3个月8号净值型理财产品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3.26%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3.8%-4.0%（2022/5/26-2023/2/22）；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3.2%-4.2%（2023/2/23-2024/5/22）；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3.0%-3.6%（2024/5/23-至今）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四川银行定开系列3个月9号净值型理财产品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2.26%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3.26%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3.8%-4.0%（2022/6/2-2023/3/1）；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3.2%-4.2%（2023/3/2-2024/5/29）；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3.0%-3.6%（2024/5/30-至今）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四川银行定开系列3个月10号净值型理财产品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3.81%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3.8%-4.0%（2022/6/9-2023/3/8）；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3.2%-4.2%（2023/3/9-2024/3/6）；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3.0%-3.6%（2024/3/7-2024/6/5）；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3.2%-4.2%（2023/3/16-2024/3/13）；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3.0%-3.6%（2024/3/14-2024/6/12）；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2.8%-3.5%（2024/6/13-至今）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0.86%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3.26%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3.8%-4.0%（2022/6/23-2023/3/22）；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3.2%-4.2%（2023/3/23-2024/3/20）；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3.0%-3.6%（2024/3/21-2024/6/19）；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2.8%-3.5%（2024/6/20-至今）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四川银行定开系列3个月13号净值型理财产品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3.8%-4.0%（2022/6/30-2023/3/29）；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3.2%-4.2%（2023/3/30-2024/3/27）；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3.0%-3.6%（2024/3/28-2024/6/26）；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2.8%-3.5%（2024/6/27-至今）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3.38%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3.8%-4.2%（2021/11/16-2022/11/15）；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3.9%-4.1%（2022/11/16-2023/5/15）；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3.1%-3.7%（2024/5/16-至今）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2.94%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3.38%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3.8%-4.2%（2021/11/26-2022/5/25）；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3.9%-4.1%（2022/5/26-2023/5/25）；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3.4%-4.4%（2023/5/26-2024/5/27）；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3.1%-3.7%（2024/5/28-至今）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四川银行定开系列6个月3号净值型理财产品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3.38%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3.8%-4.2%（2021/12/7-2022/6/6）；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3.9%-4.1%（2022/6/7-2023/6/5）；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3.4%-4.4%（2023/6/6-2024/6/5）；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2.9%-3.7%（2024/6/6-至今）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四川银行定开系列6个月4号净值型理财产品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1.57%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3.8%-4.2%（2021/12/16-2022/6/15）；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3.9%-4.1%（2022/6/16-2023/6/15）；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3.4%-4.4%（2023/6/16-2024/6/17）；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2.9%-3.7%（2024/6/18-至今）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四川银行定开系列6个月5号净值型理财产品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3.8%-4.2%（2021/12/28-2022/6/27）；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3.9%-4.1%（2022/6/28-2023/6/25）；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3.4%-4.4%（2023/6/26-2024/6/25）；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2.9%-3.7%（2024/6/26-至今）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四川银行定开系列6个月6号净值型理财产品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2021/11/5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1.41%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3.51%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3.8%-4.2%（2022/1/6-2022/7/5）；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3.9%-4.1%（2022/7/6-2023/7/5）；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3.4%-4.4%（2023/7/6-2024/7/8）；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2.9%-3.7%（2024/7/9-至今）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四川银行定开系列6个月7号净值型理财产品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3.50%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3.8%-4.2%（2022/1/18-2022/7/18）；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3.9%-4.1%（2022/7/19-2023/7/17）；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3.4%-4.4%（2023/7/18-2024/7/15）；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2.9%-3.7%（2024/7/16-至今）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四川银行定开系列6个月8号净值型理财产品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3.51%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3.8%-4.2%（2022/1/26-2022/7/25）；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3.9%-4.1%（2022/7/26-2023/7/25）；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3.4%-4.4%（2023/7/26-2024/7/25）；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2.9%-3.7%（2024/7/26-至今）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四川银行定开系列6个月9号净值型理财产品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0.93%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3.9%-4.1%（2022/2/8-2023/2/6）；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四川银行定开系列6个月10号净值型理财产品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3.9%-4.1%（2022/2/16-2023/2/15）；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3.9%-4.1%（2022/3/1-2023/2/27）；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1.59%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3.9%-4.1%（2022/3/8-2023/3/6）；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3.4%-4.4%（2023/3/7-2024/3/5）；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四川银行定开系列6个月13号净值型理财产品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4.82%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3.4%-4.4%（2023/3/16-2024/3/18）；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3.1%-3.7%（2024/3/19-至今）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四川银行定开系列6个月14号净值型理财产品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2022/3/29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5.95%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3.9%-4.1%（2022/3/29-2023/3/27）；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3.4%-4.4%（2023/3/28-2024/3/25）；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四川银行定开系列6个月15号净值型理财产品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5.88%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3.1%-3.7%（2024/4/8-至今）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四川银行定开系列6个月16号净值型理财产品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3.9%-4.1%（2022/4/19-2023/4/17）；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3.4%-4.4%（2023/4/18-2024/4/15）；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3.1%-3.7%（2024/4/16-至今）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四川银行定开系列6个月17号净值型理财产品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3.9%-4.1%（2022/4/26-2023/4/25）；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3.4%-4.4%（2023/4/26-2024/4/25）；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3.1%-3.7%（2024/4/26-至今）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四川银行定开系列6个月18号净值型理财产品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3.38%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3.9%-4.1%（2022/5/6-2023/5/5）；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3.4%-4.4%（2023/5/6-2024/5/6）；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3.1%-3.7%（2024/5/7-至今）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净值型系列封闭式第173期人民币理财产品（先到利）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2021/8/6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5.98%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净值型系列封闭式第174期人民币理财产品（先到利）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2021/8/19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净值型系列封闭式第175期人民币理财产品（先到利）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2021/9/2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2.42%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9.20%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净值型系列封闭式第176期人民币理财产品（先到利）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2021/9/23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2.43%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8.98%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2021/10/12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净值型系列封闭式第178期人民币理财产品（先到利按季分红）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2021/10/26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净值型系列封闭式第179期人民币理财产品（先到利B款半年分红）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6.31%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净值型系列封闭式第180期人民币理财产品（先到利B款半年分红）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3.74%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净值型系列封闭式第181期人民币理财产品（先到利B款半年分红）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净值型系列封闭式第119期人民币理财产品（先到利B款半年分红）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净值型系列封闭式第120期人民币理财产品（先到利B款半年分红）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净值型系列封闭式第182期人民币理财产品（先到利B款半年分红）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6.12%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净值型系列封闭式第183期人民币理财产品（先到利B款半年分红）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净值型系列封闭式第184期人民币理财产品（先到利B款半年分红）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净值型系列封闭式第185期人民币理财产品（先到利B款半年分红）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净值型系列封闭式第189期人民币理财产品（先到利B款半年分红）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净值型系列封闭式第213期人民币理财产品（先到利B款半年分红）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2022/7/21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净值型系列封闭式第214期人民币理财产品（先到利B款半年分红）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2022/8/23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净值型系列封闭式第215期人民币理财产品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2022/10/12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2022/10/25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净值型系列封闭式第254期人民币理财产品（先到利B款半年分红）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2022/11/8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净值型系列封闭式第255期人民币理财产品（先到利B款半年分红）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-12.85%(指市场波动情况下会计估值核算数据，不代表实际兑付收益)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-7.63%(指市场波动情况下会计估值核算数据，不代表实际兑付收益)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-6.39%(指市场波动情况下会计估值核算数据，不代表实际兑付收益)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净值型系列封闭式第260期人民币理财产品（先到利C款按年分红）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净值型系列封闭式第266期人民币理财产品（先到利C款按年分红）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净值型系列封闭式第267期人民币理财产品（先到利C款按年分红）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4.54%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净值型系列封闭式第268期人民币理财产品（先到利C款按年分红）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4.78%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净值型系列封闭式第270期人民币理财产品（先到利C款按年分红）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净值型系列封闭式第276期人民币理财产品（先到利C款按年分红）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净值型系列封闭式第277期人民币理财产品（先到利C款按年分红）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净值型系列封闭式第278期人民币理财产品（先到利C款按年分红）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净值型系列封闭式第280期人民币理财产品（先到利B款半年分红）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净值型系列封闭式第285期人民币理财产品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净值型系列封闭式第291期人民币理财产品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净值型系列封闭式第292期人民币理财产品（尊享款）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净值型系列封闭式第293期人民币理财产品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净值型系列封闭式第298期人民币理财产品（先到利C款按年分红）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净值型系列封闭式第300期人民币理财产品（先到利C款按年分红）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</w:tbl>
    <w:p>
      <w:pPr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三、成立6年以上的理财产品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无。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1、各理财产品过往业绩相关数据已经托管人核对。</w:t>
      </w:r>
    </w:p>
    <w:p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2、理财产品过往业绩不代表其未来表现，不等于理财产品实际收益，投资需谨慎。理财产品业绩比较基准不是预期收益率，不代表产品的未来表现和实际收益，不构成对产品收益的承诺。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过往业绩计算方法：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（1）现金</w:t>
      </w:r>
      <w:r>
        <w:rPr>
          <w:rFonts w:ascii="仿宋" w:hAnsi="仿宋" w:eastAsia="仿宋"/>
          <w:sz w:val="24"/>
          <w:szCs w:val="24"/>
        </w:rPr>
        <w:t>管理类产品</w:t>
      </w:r>
      <w:r>
        <w:rPr>
          <w:rFonts w:hint="eastAsia" w:ascii="仿宋" w:hAnsi="仿宋" w:eastAsia="仿宋"/>
          <w:sz w:val="24"/>
          <w:szCs w:val="24"/>
        </w:rPr>
        <w:t>（美日</w:t>
      </w:r>
      <w:r>
        <w:rPr>
          <w:rFonts w:ascii="仿宋" w:hAnsi="仿宋" w:eastAsia="仿宋"/>
          <w:sz w:val="24"/>
          <w:szCs w:val="24"/>
        </w:rPr>
        <w:t>利</w:t>
      </w:r>
      <w:r>
        <w:rPr>
          <w:rFonts w:hint="eastAsia" w:ascii="仿宋" w:hAnsi="仿宋" w:eastAsia="仿宋"/>
          <w:sz w:val="24"/>
          <w:szCs w:val="24"/>
        </w:rPr>
        <w:t>）年化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hint="eastAsia"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nary>
                <m:naryPr>
                  <m:chr m:val="∏"/>
                  <m:limLoc m:val="subSup"/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仿宋"/>
                      <w:sz w:val="24"/>
                      <w:szCs w:val="24"/>
                    </w:rPr>
                    <m:t>i</m:t>
                  </m:r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hint="eastAsia" w:ascii="Cambria Math" w:hAnsi="Cambria Math" w:eastAsia="仿宋"/>
                              <w:sz w:val="24"/>
                              <w:szCs w:val="24"/>
                            </w:rPr>
                            <m:t>日万份收益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10000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eastAsia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e>
              </m:nary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−1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hint="eastAsia" w:ascii="Cambria Math" w:hAnsi="Cambria Math" w:eastAsia="仿宋"/>
              <w:sz w:val="24"/>
              <w:szCs w:val="24"/>
            </w:rPr>
            <m:t>×</m:t>
          </m:r>
          <m:r>
            <m:rPr/>
            <w:rPr>
              <w:rFonts w:ascii="Cambria Math" w:hAnsi="Cambria Math" w:eastAsia="仿宋"/>
              <w:sz w:val="24"/>
              <w:szCs w:val="24"/>
            </w:rPr>
            <m:t>365/N</m:t>
          </m:r>
        </m:oMath>
      </m:oMathPara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（2）定开系列</w:t>
      </w:r>
      <w:r>
        <w:rPr>
          <w:rFonts w:ascii="仿宋" w:hAnsi="仿宋" w:eastAsia="仿宋"/>
          <w:sz w:val="24"/>
          <w:szCs w:val="24"/>
        </w:rPr>
        <w:t>产品</w:t>
      </w:r>
      <w:r>
        <w:rPr>
          <w:rFonts w:hint="eastAsia" w:ascii="仿宋" w:hAnsi="仿宋" w:eastAsia="仿宋"/>
          <w:sz w:val="24"/>
          <w:szCs w:val="24"/>
        </w:rPr>
        <w:t>及净值型</w:t>
      </w:r>
      <w:r>
        <w:rPr>
          <w:rFonts w:ascii="仿宋" w:hAnsi="仿宋" w:eastAsia="仿宋"/>
          <w:sz w:val="24"/>
          <w:szCs w:val="24"/>
        </w:rPr>
        <w:t>封闭式产品</w:t>
      </w:r>
      <w:r>
        <w:rPr>
          <w:rFonts w:hint="eastAsia" w:ascii="仿宋" w:hAnsi="仿宋" w:eastAsia="仿宋"/>
          <w:sz w:val="24"/>
          <w:szCs w:val="24"/>
        </w:rPr>
        <w:t>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hint="eastAsia"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sz w:val="24"/>
                  <w:szCs w:val="24"/>
                </w:rPr>
                <m:t>期末累计净值</m:t>
              </m:r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</m:t>
              </m:r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sz w:val="24"/>
                  <w:szCs w:val="24"/>
                </w:rPr>
                <m:t>期初累计净值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ascii="Cambria Math" w:hAnsi="Cambria Math" w:eastAsia="仿宋"/>
              <w:sz w:val="24"/>
              <w:szCs w:val="24"/>
            </w:rPr>
            <m:t>×365/N</m:t>
          </m:r>
        </m:oMath>
      </m:oMathPara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其中：</w:t>
      </w:r>
      <w:r>
        <w:rPr>
          <w:rFonts w:hint="eastAsia" w:ascii="仿宋" w:hAnsi="仿宋" w:eastAsia="仿宋"/>
          <w:i/>
          <w:iCs/>
          <w:sz w:val="24"/>
          <w:szCs w:val="24"/>
        </w:rPr>
        <w:t>N</w:t>
      </w:r>
      <w:r>
        <w:rPr>
          <w:rFonts w:hint="eastAsia" w:ascii="仿宋" w:hAnsi="仿宋" w:eastAsia="仿宋"/>
          <w:sz w:val="24"/>
          <w:szCs w:val="24"/>
        </w:rPr>
        <w:t>为存续天数。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（3）业绩比较基准选择原因及测算依据以对应理财产品说明书为准。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560" w:firstLineChars="200"/>
        <w:jc w:val="righ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四川银行股份有限公司</w:t>
      </w:r>
    </w:p>
    <w:p>
      <w:pPr>
        <w:ind w:firstLine="56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30"/>
        </w:rPr>
        <w:t>2024年7月31日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68501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jNTY1NWIxMDNhZGI5NmE2MzY3Njg3NTM2Mjc2ZTIifQ=="/>
    <w:docVar w:name="KSO_WPS_MARK_KEY" w:val="e6624abf-7ad5-4f88-afb5-f79bff54a787"/>
  </w:docVars>
  <w:rsids>
    <w:rsidRoot w:val="00650EEC"/>
    <w:rsid w:val="00021ADA"/>
    <w:rsid w:val="00080F2A"/>
    <w:rsid w:val="00083976"/>
    <w:rsid w:val="0010325A"/>
    <w:rsid w:val="00113C4B"/>
    <w:rsid w:val="00125414"/>
    <w:rsid w:val="00135DC4"/>
    <w:rsid w:val="001465A7"/>
    <w:rsid w:val="00146AD0"/>
    <w:rsid w:val="00170778"/>
    <w:rsid w:val="00194905"/>
    <w:rsid w:val="001B3637"/>
    <w:rsid w:val="001B3E68"/>
    <w:rsid w:val="001C283D"/>
    <w:rsid w:val="001C7DFD"/>
    <w:rsid w:val="001D6D22"/>
    <w:rsid w:val="001F12AD"/>
    <w:rsid w:val="00234488"/>
    <w:rsid w:val="00237A6F"/>
    <w:rsid w:val="00241B94"/>
    <w:rsid w:val="00260AE8"/>
    <w:rsid w:val="00267C2F"/>
    <w:rsid w:val="00291D7E"/>
    <w:rsid w:val="002D4490"/>
    <w:rsid w:val="002E5DC9"/>
    <w:rsid w:val="002F2032"/>
    <w:rsid w:val="002F323D"/>
    <w:rsid w:val="002F3667"/>
    <w:rsid w:val="002F4800"/>
    <w:rsid w:val="00306173"/>
    <w:rsid w:val="00310E59"/>
    <w:rsid w:val="00331112"/>
    <w:rsid w:val="00337D57"/>
    <w:rsid w:val="00353D7D"/>
    <w:rsid w:val="003817F4"/>
    <w:rsid w:val="004276CC"/>
    <w:rsid w:val="00453409"/>
    <w:rsid w:val="004A4B51"/>
    <w:rsid w:val="004D5058"/>
    <w:rsid w:val="0051520F"/>
    <w:rsid w:val="00540F97"/>
    <w:rsid w:val="00582034"/>
    <w:rsid w:val="005A3CBB"/>
    <w:rsid w:val="005F1D9C"/>
    <w:rsid w:val="005F254A"/>
    <w:rsid w:val="005F54DC"/>
    <w:rsid w:val="00603255"/>
    <w:rsid w:val="00617F9A"/>
    <w:rsid w:val="006252EC"/>
    <w:rsid w:val="00631DCE"/>
    <w:rsid w:val="00650EEC"/>
    <w:rsid w:val="00737488"/>
    <w:rsid w:val="00742154"/>
    <w:rsid w:val="00772B8B"/>
    <w:rsid w:val="00787999"/>
    <w:rsid w:val="007A5FF5"/>
    <w:rsid w:val="0081036D"/>
    <w:rsid w:val="00850771"/>
    <w:rsid w:val="008543EC"/>
    <w:rsid w:val="008A40E7"/>
    <w:rsid w:val="008B753A"/>
    <w:rsid w:val="008F51D2"/>
    <w:rsid w:val="00916F9B"/>
    <w:rsid w:val="00992F2E"/>
    <w:rsid w:val="009B7506"/>
    <w:rsid w:val="00A93605"/>
    <w:rsid w:val="00AB3B5C"/>
    <w:rsid w:val="00AE0EAB"/>
    <w:rsid w:val="00B02FE5"/>
    <w:rsid w:val="00B25CBA"/>
    <w:rsid w:val="00BA2993"/>
    <w:rsid w:val="00BF2F9A"/>
    <w:rsid w:val="00CB7047"/>
    <w:rsid w:val="00D17B82"/>
    <w:rsid w:val="00D36BED"/>
    <w:rsid w:val="00D45151"/>
    <w:rsid w:val="00D50B55"/>
    <w:rsid w:val="00D70D13"/>
    <w:rsid w:val="00D77C03"/>
    <w:rsid w:val="00D96C1F"/>
    <w:rsid w:val="00DB099A"/>
    <w:rsid w:val="00DD6504"/>
    <w:rsid w:val="00E02B23"/>
    <w:rsid w:val="00E0499F"/>
    <w:rsid w:val="00E05386"/>
    <w:rsid w:val="00E823EB"/>
    <w:rsid w:val="00E86F81"/>
    <w:rsid w:val="00E91512"/>
    <w:rsid w:val="00EA594A"/>
    <w:rsid w:val="00EA7312"/>
    <w:rsid w:val="00F67173"/>
    <w:rsid w:val="00FB4520"/>
    <w:rsid w:val="0233386D"/>
    <w:rsid w:val="06060559"/>
    <w:rsid w:val="08DD4E60"/>
    <w:rsid w:val="0BE77549"/>
    <w:rsid w:val="0BFB189F"/>
    <w:rsid w:val="0ED45911"/>
    <w:rsid w:val="141E7703"/>
    <w:rsid w:val="194D3121"/>
    <w:rsid w:val="1BC566DF"/>
    <w:rsid w:val="1C0360BE"/>
    <w:rsid w:val="221845C2"/>
    <w:rsid w:val="330F46D8"/>
    <w:rsid w:val="397057EE"/>
    <w:rsid w:val="3E7B3C37"/>
    <w:rsid w:val="406E2169"/>
    <w:rsid w:val="40A21628"/>
    <w:rsid w:val="440A1978"/>
    <w:rsid w:val="4B635967"/>
    <w:rsid w:val="4D2374DD"/>
    <w:rsid w:val="4D420AFB"/>
    <w:rsid w:val="535E39A0"/>
    <w:rsid w:val="561C6F74"/>
    <w:rsid w:val="5A055BF0"/>
    <w:rsid w:val="5A9157D8"/>
    <w:rsid w:val="5B1D29BA"/>
    <w:rsid w:val="654146F0"/>
    <w:rsid w:val="67024A05"/>
    <w:rsid w:val="69730BD5"/>
    <w:rsid w:val="6B7E78F2"/>
    <w:rsid w:val="6E47404E"/>
    <w:rsid w:val="6EE9430A"/>
    <w:rsid w:val="74230CB9"/>
    <w:rsid w:val="752A40F3"/>
    <w:rsid w:val="78717774"/>
    <w:rsid w:val="78C55630"/>
    <w:rsid w:val="78E12868"/>
    <w:rsid w:val="7FD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6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5862</Words>
  <Characters>12159</Characters>
  <Lines>95</Lines>
  <Paragraphs>26</Paragraphs>
  <TotalTime>0</TotalTime>
  <ScaleCrop>false</ScaleCrop>
  <LinksUpToDate>false</LinksUpToDate>
  <CharactersWithSpaces>12159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2024-08-06T02:09:00Z</dcterms:created>
  <dc:creator>86136</dc:creator>
  <cp:lastModifiedBy>戴宇然</cp:lastModifiedBy>
  <cp:lastPrinted>2024-04-17T07:05:00Z</cp:lastPrinted>
  <dcterms:modified xsi:type="dcterms:W3CDTF">2024-08-06T06:47:43Z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783AE07AF68447BC826DAC7190DCC084</vt:lpwstr>
  </property>
</Properties>
</file>