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22" w:rsidRDefault="00477422" w:rsidP="00477422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</w:pPr>
      <w:proofErr w:type="gramStart"/>
      <w:r w:rsidRPr="00FD14C5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川银系列</w:t>
      </w:r>
      <w:proofErr w:type="gramEnd"/>
      <w:r w:rsidRPr="00FD14C5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“美日利”人民币理财产品</w:t>
      </w:r>
    </w:p>
    <w:p w:rsidR="00477422" w:rsidRDefault="00477422" w:rsidP="00477422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2024年</w:t>
      </w:r>
      <w:r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  <w:t>2</w:t>
      </w:r>
      <w:bookmarkStart w:id="0" w:name="_GoBack"/>
      <w:bookmarkEnd w:id="0"/>
      <w:r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  <w:t>季度报告</w:t>
      </w:r>
    </w:p>
    <w:p w:rsidR="00772951" w:rsidRDefault="00477422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-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6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30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</w:p>
    <w:p w:rsidR="00772951" w:rsidRDefault="00772951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772951" w:rsidRDefault="00477422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§1  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重要提示</w:t>
      </w:r>
    </w:p>
    <w:p w:rsidR="00772951" w:rsidRDefault="00477422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产品管理人保证本报告所载资料不存在虚假记载、误导性陈述或重大遗漏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,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并对其内容的真实性、准确性和完整性承担个别及连带责任。</w:t>
      </w:r>
    </w:p>
    <w:p w:rsidR="00772951" w:rsidRDefault="00477422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产品托管人中国工商银行股份有限公司，已复核了本报告中的财务指标、净值表现和投资组合报告等内容，保证复核内容不存在虚假记载、误导性陈述或者重大遗漏。</w:t>
      </w:r>
    </w:p>
    <w:p w:rsidR="00772951" w:rsidRDefault="00477422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本报告中财务资料未经审计。</w:t>
      </w:r>
    </w:p>
    <w:p w:rsidR="00772951" w:rsidRDefault="0077295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772951" w:rsidRDefault="00477422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本报告期自起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至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6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30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止。</w:t>
      </w:r>
    </w:p>
    <w:p w:rsidR="00772951" w:rsidRDefault="00772951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772951" w:rsidRDefault="00477422">
      <w:pPr>
        <w:widowControl/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§2  </w:t>
      </w:r>
      <w:r>
        <w:rPr>
          <w:rFonts w:ascii="仿宋" w:eastAsia="仿宋" w:hAnsi="仿宋"/>
          <w:b/>
          <w:color w:val="000000"/>
          <w:sz w:val="24"/>
        </w:rPr>
        <w:t>产品概况</w:t>
      </w:r>
    </w:p>
    <w:p w:rsidR="00772951" w:rsidRDefault="00772951">
      <w:pPr>
        <w:widowControl/>
        <w:jc w:val="center"/>
        <w:rPr>
          <w:rFonts w:ascii="仿宋" w:eastAsia="仿宋" w:hAnsi="仿宋"/>
          <w:b/>
          <w:color w:val="000000"/>
          <w:sz w:val="24"/>
          <w:lang w:eastAsia="en-US"/>
        </w:rPr>
      </w:pPr>
    </w:p>
    <w:tbl>
      <w:tblPr>
        <w:tblW w:w="75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5677"/>
      </w:tblGrid>
      <w:tr w:rsidR="00772951">
        <w:trPr>
          <w:trHeight w:val="319"/>
          <w:jc w:val="center"/>
        </w:trPr>
        <w:tc>
          <w:tcPr>
            <w:tcW w:w="1867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川银系列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“美日利”</w:t>
            </w:r>
            <w:r>
              <w:rPr>
                <w:rFonts w:ascii="仿宋" w:eastAsia="仿宋" w:hAnsi="仿宋"/>
                <w:color w:val="000000"/>
                <w:sz w:val="24"/>
              </w:rPr>
              <w:t>人民币理财产品</w:t>
            </w:r>
          </w:p>
        </w:tc>
      </w:tr>
      <w:tr w:rsidR="00772951">
        <w:trPr>
          <w:trHeight w:val="32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C1079020000071</w:t>
            </w:r>
          </w:p>
        </w:tc>
      </w:tr>
      <w:tr w:rsidR="00772951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非保本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净值型理财产品</w:t>
            </w:r>
          </w:p>
        </w:tc>
      </w:tr>
      <w:tr w:rsidR="00772951">
        <w:trPr>
          <w:trHeight w:val="52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left"/>
              <w:textAlignment w:val="top"/>
              <w:rPr>
                <w:rFonts w:eastAsia="宋体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3,136,890,321.11</w:t>
            </w:r>
          </w:p>
        </w:tc>
      </w:tr>
      <w:tr w:rsidR="00772951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非保本浮动收益型</w:t>
            </w:r>
          </w:p>
        </w:tc>
      </w:tr>
      <w:tr w:rsidR="00772951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公募</w:t>
            </w:r>
          </w:p>
        </w:tc>
      </w:tr>
      <w:tr w:rsidR="00772951">
        <w:trPr>
          <w:trHeight w:val="140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spacing w:before="199" w:after="199"/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100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%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投资于期限在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年以内（含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年）的银行活期存款及银行定期存款、债券回购、中央银行票据、同业存单，剩余期限在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397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天以内（含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397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天）的债券、在银行间市场和证券交易所市场发行的资产支持证券，以及银保监会、中国人民银行认可的其他具有良好流动性的货币市场工具。</w:t>
            </w:r>
          </w:p>
        </w:tc>
      </w:tr>
      <w:tr w:rsidR="00772951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2020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</w:p>
        </w:tc>
      </w:tr>
      <w:tr w:rsidR="00772951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119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</w:tr>
      <w:tr w:rsidR="00772951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109.64%</w:t>
            </w:r>
          </w:p>
        </w:tc>
      </w:tr>
      <w:tr w:rsidR="00772951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级：低</w:t>
            </w:r>
          </w:p>
        </w:tc>
      </w:tr>
      <w:tr w:rsidR="00772951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四川银行股份有限公司</w:t>
            </w:r>
          </w:p>
        </w:tc>
      </w:tr>
      <w:tr w:rsidR="00772951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lastRenderedPageBreak/>
              <w:t>产品托管人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中国工商银行股份有限公司</w:t>
            </w:r>
          </w:p>
        </w:tc>
      </w:tr>
    </w:tbl>
    <w:p w:rsidR="00772951" w:rsidRDefault="00772951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772951" w:rsidRDefault="00772951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772951" w:rsidRDefault="00477422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§3  </w:t>
      </w:r>
      <w:r>
        <w:rPr>
          <w:rFonts w:ascii="仿宋" w:eastAsia="仿宋" w:hAnsi="仿宋"/>
          <w:b/>
          <w:color w:val="000000"/>
          <w:sz w:val="24"/>
        </w:rPr>
        <w:t>产品业绩表现</w:t>
      </w:r>
    </w:p>
    <w:p w:rsidR="00772951" w:rsidRDefault="00477422">
      <w:pPr>
        <w:jc w:val="righ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单位：人民币元</w:t>
      </w:r>
    </w:p>
    <w:p w:rsidR="00772951" w:rsidRDefault="00772951">
      <w:pPr>
        <w:jc w:val="right"/>
        <w:rPr>
          <w:rFonts w:ascii="仿宋" w:eastAsia="仿宋" w:hAnsi="仿宋"/>
          <w:color w:val="000000"/>
          <w:sz w:val="24"/>
        </w:rPr>
      </w:pPr>
    </w:p>
    <w:tbl>
      <w:tblPr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5890"/>
      </w:tblGrid>
      <w:tr w:rsidR="00772951">
        <w:trPr>
          <w:trHeight w:val="282"/>
          <w:jc w:val="center"/>
        </w:trPr>
        <w:tc>
          <w:tcPr>
            <w:tcW w:w="3080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  <w:proofErr w:type="spellEnd"/>
          </w:p>
        </w:tc>
        <w:tc>
          <w:tcPr>
            <w:tcW w:w="589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报告期（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日至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6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日）</w:t>
            </w:r>
          </w:p>
        </w:tc>
      </w:tr>
      <w:tr w:rsidR="00772951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1.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期末产品资产净值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3,136,890,321.11</w:t>
            </w:r>
          </w:p>
        </w:tc>
      </w:tr>
      <w:tr w:rsidR="00772951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2.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期末产品份额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3,136,890,321.11</w:t>
            </w:r>
          </w:p>
        </w:tc>
      </w:tr>
      <w:tr w:rsidR="00772951">
        <w:trPr>
          <w:trHeight w:val="305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3.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期末产品份额净值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1.0000</w:t>
            </w:r>
          </w:p>
        </w:tc>
      </w:tr>
    </w:tbl>
    <w:p w:rsidR="00772951" w:rsidRDefault="00772951">
      <w:pPr>
        <w:jc w:val="left"/>
        <w:rPr>
          <w:rFonts w:ascii="仿宋" w:eastAsia="仿宋" w:hAnsi="仿宋"/>
          <w:color w:val="000000"/>
          <w:sz w:val="24"/>
          <w:lang w:eastAsia="en-US"/>
        </w:rPr>
      </w:pPr>
    </w:p>
    <w:p w:rsidR="00772951" w:rsidRDefault="00477422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报告期内保持对市场的密切关注，运用多种方式为客户创造收益，</w:t>
      </w:r>
      <w:r>
        <w:rPr>
          <w:rFonts w:ascii="仿宋" w:eastAsia="仿宋" w:hAnsi="仿宋" w:hint="eastAsia"/>
          <w:color w:val="000000"/>
          <w:sz w:val="24"/>
        </w:rPr>
        <w:t>季度</w:t>
      </w:r>
      <w:proofErr w:type="gramStart"/>
      <w:r>
        <w:rPr>
          <w:rFonts w:ascii="仿宋" w:eastAsia="仿宋" w:hAnsi="仿宋" w:hint="eastAsia"/>
          <w:color w:val="000000"/>
          <w:sz w:val="24"/>
        </w:rPr>
        <w:t>末产品</w:t>
      </w:r>
      <w:proofErr w:type="gramEnd"/>
      <w:r>
        <w:rPr>
          <w:rFonts w:ascii="仿宋" w:eastAsia="仿宋" w:hAnsi="仿宋" w:hint="eastAsia"/>
          <w:color w:val="000000"/>
          <w:sz w:val="24"/>
        </w:rPr>
        <w:t>基金单位当日</w:t>
      </w:r>
      <w:r>
        <w:rPr>
          <w:rFonts w:ascii="仿宋" w:eastAsia="仿宋" w:hAnsi="仿宋" w:hint="eastAsia"/>
          <w:color w:val="000000"/>
          <w:sz w:val="24"/>
        </w:rPr>
        <w:t>收益为</w:t>
      </w:r>
      <w:r>
        <w:rPr>
          <w:rFonts w:ascii="仿宋" w:eastAsia="仿宋" w:hAnsi="仿宋" w:hint="eastAsia"/>
          <w:color w:val="000000"/>
          <w:sz w:val="24"/>
        </w:rPr>
        <w:t>0.5847</w:t>
      </w:r>
      <w:r>
        <w:rPr>
          <w:rFonts w:ascii="仿宋" w:eastAsia="仿宋" w:hAnsi="仿宋" w:hint="eastAsia"/>
          <w:color w:val="000000"/>
          <w:sz w:val="24"/>
        </w:rPr>
        <w:t>，七日年化为</w:t>
      </w:r>
      <w:r>
        <w:rPr>
          <w:rFonts w:ascii="仿宋" w:eastAsia="仿宋" w:hAnsi="仿宋" w:hint="eastAsia"/>
          <w:color w:val="000000"/>
          <w:sz w:val="24"/>
        </w:rPr>
        <w:t>2.1409</w:t>
      </w:r>
      <w:r>
        <w:rPr>
          <w:rFonts w:ascii="仿宋" w:eastAsia="仿宋" w:hAnsi="仿宋"/>
          <w:color w:val="000000"/>
          <w:sz w:val="24"/>
        </w:rPr>
        <w:t>。</w:t>
      </w:r>
    </w:p>
    <w:p w:rsidR="00772951" w:rsidRDefault="00772951">
      <w:pPr>
        <w:jc w:val="left"/>
        <w:rPr>
          <w:rFonts w:ascii="仿宋" w:eastAsia="仿宋" w:hAnsi="仿宋"/>
          <w:color w:val="000000"/>
          <w:sz w:val="24"/>
        </w:rPr>
      </w:pPr>
    </w:p>
    <w:p w:rsidR="00772951" w:rsidRDefault="00477422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§4  </w:t>
      </w:r>
      <w:r>
        <w:rPr>
          <w:rFonts w:ascii="仿宋" w:eastAsia="仿宋" w:hAnsi="仿宋"/>
          <w:b/>
          <w:color w:val="000000"/>
          <w:sz w:val="24"/>
        </w:rPr>
        <w:t>产品投资策略和运作分析</w:t>
      </w:r>
    </w:p>
    <w:p w:rsidR="00772951" w:rsidRDefault="00772951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772951" w:rsidRDefault="00477422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4.1 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报告期内产品投资策略和运作分析</w:t>
      </w:r>
    </w:p>
    <w:p w:rsidR="00772951" w:rsidRDefault="0077295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772951" w:rsidRDefault="00477422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产品设立严格符合</w:t>
      </w:r>
      <w:proofErr w:type="gramStart"/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资管新规</w:t>
      </w:r>
      <w:proofErr w:type="gramEnd"/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要求，投资策略为持有到期。产品自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2020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9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月成立以来，累计管理规模</w:t>
      </w:r>
      <w:r>
        <w:rPr>
          <w:rFonts w:ascii="仿宋" w:eastAsia="仿宋" w:hAnsi="仿宋" w:cs="Times New Roman"/>
          <w:kern w:val="0"/>
          <w:sz w:val="24"/>
          <w:szCs w:val="22"/>
        </w:rPr>
        <w:t>3,136,890,321.11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元，截止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2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024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6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30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日，净值</w:t>
      </w:r>
      <w:r>
        <w:rPr>
          <w:rFonts w:ascii="仿宋" w:eastAsia="仿宋" w:hAnsi="仿宋" w:cs="Times New Roman"/>
          <w:kern w:val="0"/>
          <w:sz w:val="24"/>
          <w:szCs w:val="22"/>
        </w:rPr>
        <w:t>3,136,890,321.11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。</w:t>
      </w:r>
    </w:p>
    <w:p w:rsidR="00772951" w:rsidRDefault="0077295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772951" w:rsidRDefault="00477422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4.2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报告期内产品主要投资风险</w:t>
      </w:r>
    </w:p>
    <w:p w:rsidR="00772951" w:rsidRDefault="0077295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772951" w:rsidRDefault="00477422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 w:rsidR="00772951" w:rsidRDefault="0077295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772951" w:rsidRDefault="00477422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4.3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产品流动性风险分析</w:t>
      </w:r>
    </w:p>
    <w:p w:rsidR="00772951" w:rsidRDefault="00477422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</w:t>
      </w:r>
    </w:p>
    <w:p w:rsidR="00772951" w:rsidRDefault="00477422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本产品主要投资范围为标准化资产，并保有一定流动性储备，整体流动性风险可控。本产品通过额度控制、动态监测、正回购及变现高流动性资产的方式应对流动性风险。具体包括：一是跟踪资金申购赎回情况，提前备付流动资金；二是根据产品的期限，合理安排投资资产剩余期限，预防流动性风险；三是产品持有一定比例的高流动性资产，赎回期前主要通过储备的流动性或卖出资产变现，满足产品的流动性需求。</w:t>
      </w:r>
    </w:p>
    <w:p w:rsidR="00772951" w:rsidRDefault="00772951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772951" w:rsidRDefault="00477422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§5 </w:t>
      </w:r>
      <w:r>
        <w:rPr>
          <w:rFonts w:ascii="仿宋" w:eastAsia="仿宋" w:hAnsi="仿宋"/>
          <w:b/>
          <w:color w:val="000000"/>
          <w:sz w:val="24"/>
        </w:rPr>
        <w:t>投资组合报告</w:t>
      </w:r>
    </w:p>
    <w:p w:rsidR="00772951" w:rsidRDefault="00772951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772951" w:rsidRDefault="00477422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5.1 </w:t>
      </w:r>
      <w:r>
        <w:rPr>
          <w:rFonts w:ascii="仿宋" w:eastAsia="仿宋" w:hAnsi="仿宋"/>
          <w:b/>
          <w:color w:val="000000"/>
          <w:sz w:val="24"/>
        </w:rPr>
        <w:t>产品投资资产种类</w:t>
      </w:r>
    </w:p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320"/>
        <w:gridCol w:w="2919"/>
        <w:gridCol w:w="2385"/>
      </w:tblGrid>
      <w:tr w:rsidR="00772951">
        <w:trPr>
          <w:trHeight w:val="282"/>
        </w:trPr>
        <w:tc>
          <w:tcPr>
            <w:tcW w:w="689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332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  <w:proofErr w:type="spellEnd"/>
          </w:p>
        </w:tc>
        <w:tc>
          <w:tcPr>
            <w:tcW w:w="291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面值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  <w:tc>
          <w:tcPr>
            <w:tcW w:w="2385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产品总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987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423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758.76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86.86</w:t>
            </w: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其中：债券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987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423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758.76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86.86</w:t>
            </w: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3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资产支持证券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4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5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其中：股票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6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7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8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9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255,034,494.06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7.42</w:t>
            </w: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10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其中：买断式回购的买入返售金融资产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1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156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974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388.2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4.56</w:t>
            </w: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numPr>
                <w:ilvl w:val="0"/>
                <w:numId w:val="1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40,000,000.00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1.16</w:t>
            </w:r>
          </w:p>
        </w:tc>
      </w:tr>
      <w:tr w:rsidR="00772951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7729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3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,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439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,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432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,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641.02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100.00</w:t>
            </w:r>
          </w:p>
        </w:tc>
      </w:tr>
    </w:tbl>
    <w:p w:rsidR="00772951" w:rsidRDefault="00772951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772951" w:rsidRDefault="00477422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5.2 </w:t>
      </w:r>
      <w:r>
        <w:rPr>
          <w:rFonts w:ascii="仿宋" w:eastAsia="仿宋" w:hAnsi="仿宋"/>
          <w:b/>
          <w:color w:val="000000"/>
          <w:sz w:val="24"/>
        </w:rPr>
        <w:t>前十大资产持仓情况</w:t>
      </w:r>
    </w:p>
    <w:tbl>
      <w:tblPr>
        <w:tblW w:w="9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129"/>
        <w:gridCol w:w="1991"/>
        <w:gridCol w:w="2203"/>
        <w:gridCol w:w="2366"/>
      </w:tblGrid>
      <w:tr w:rsidR="00772951">
        <w:trPr>
          <w:trHeight w:val="282"/>
        </w:trPr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212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  <w:proofErr w:type="spellEnd"/>
          </w:p>
        </w:tc>
        <w:tc>
          <w:tcPr>
            <w:tcW w:w="1991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资产面值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  <w:tc>
          <w:tcPr>
            <w:tcW w:w="2203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资产公允价值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产品净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深圳农商银行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CD056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150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/>
                <w:sz w:val="24"/>
              </w:rPr>
              <w:t>000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/>
                <w:sz w:val="24"/>
              </w:rPr>
              <w:t>000</w:t>
            </w:r>
            <w:r>
              <w:rPr>
                <w:rFonts w:ascii="仿宋" w:eastAsia="仿宋" w:hAnsi="仿宋" w:hint="eastAsia"/>
                <w:sz w:val="24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149,703,150.00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4.77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恒丰银行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CD224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108,463,080.00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3.46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吉林银行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CD008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99,340,500.00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3.17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兰州银行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CD071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98,388,400.00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3.14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深圳前海微众银行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CD022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79,916,640.00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2.55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天津银行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CD149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79,899,840.00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2.55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兰州银行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CD014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69,913,550.00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2.23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恒丰银行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CD222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69,730,150.00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2.22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长沙银行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CD127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59,960,940.00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1.91</w:t>
            </w:r>
          </w:p>
        </w:tc>
      </w:tr>
      <w:tr w:rsidR="00772951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广西北部湾银行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CD105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59,943,840.00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72951" w:rsidRDefault="0047742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1.91</w:t>
            </w:r>
          </w:p>
        </w:tc>
      </w:tr>
    </w:tbl>
    <w:p w:rsidR="00772951" w:rsidRDefault="00772951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772951" w:rsidRDefault="00772951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772951" w:rsidRDefault="00477422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§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6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托管人</w:t>
      </w:r>
      <w:proofErr w:type="spellStart"/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报告</w:t>
      </w:r>
      <w:proofErr w:type="spellEnd"/>
    </w:p>
    <w:p w:rsidR="00772951" w:rsidRDefault="00772951">
      <w:pPr>
        <w:jc w:val="left"/>
        <w:rPr>
          <w:rFonts w:ascii="仿宋" w:eastAsia="仿宋" w:hAnsi="仿宋"/>
          <w:b/>
          <w:color w:val="000000"/>
          <w:sz w:val="24"/>
          <w:lang w:eastAsia="en-US"/>
        </w:rPr>
      </w:pPr>
    </w:p>
    <w:p w:rsidR="00772951" w:rsidRDefault="00477422">
      <w:pPr>
        <w:widowControl/>
        <w:spacing w:line="360" w:lineRule="auto"/>
        <w:ind w:firstLineChars="100" w:firstLine="240"/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szCs w:val="22"/>
        </w:rPr>
        <w:lastRenderedPageBreak/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sectPr w:rsidR="0077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WT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1FE1"/>
    <w:rsid w:val="00477422"/>
    <w:rsid w:val="00772951"/>
    <w:rsid w:val="023D3E26"/>
    <w:rsid w:val="04836438"/>
    <w:rsid w:val="0731698E"/>
    <w:rsid w:val="07F36610"/>
    <w:rsid w:val="0BE9219C"/>
    <w:rsid w:val="0D2D75E8"/>
    <w:rsid w:val="12767544"/>
    <w:rsid w:val="13265951"/>
    <w:rsid w:val="1EED5A10"/>
    <w:rsid w:val="20B912D1"/>
    <w:rsid w:val="2311391C"/>
    <w:rsid w:val="239E502E"/>
    <w:rsid w:val="24E8576B"/>
    <w:rsid w:val="25934840"/>
    <w:rsid w:val="27F5446E"/>
    <w:rsid w:val="28DB6496"/>
    <w:rsid w:val="294A584A"/>
    <w:rsid w:val="31BD3F90"/>
    <w:rsid w:val="39433067"/>
    <w:rsid w:val="39AA15AF"/>
    <w:rsid w:val="3A530339"/>
    <w:rsid w:val="3A680E02"/>
    <w:rsid w:val="3C1C2FB8"/>
    <w:rsid w:val="46E13057"/>
    <w:rsid w:val="46E3326F"/>
    <w:rsid w:val="4B556235"/>
    <w:rsid w:val="4BEE4F7F"/>
    <w:rsid w:val="4CD162A0"/>
    <w:rsid w:val="530B5FD0"/>
    <w:rsid w:val="55BE6267"/>
    <w:rsid w:val="5F431E6C"/>
    <w:rsid w:val="68BF289F"/>
    <w:rsid w:val="6D0C3B99"/>
    <w:rsid w:val="6E211FE1"/>
    <w:rsid w:val="71F0393A"/>
    <w:rsid w:val="7A1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938CE8-C080-48C8-BBE2-D1B60396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Andale WT" w:eastAsia="Andale WT" w:hAnsi="Andale WT" w:cs="Andale WT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季度报告</dc:title>
  <dc:creator>gdgz-wenjx</dc:creator>
  <cp:lastModifiedBy>苏晓雅</cp:lastModifiedBy>
  <cp:revision>3</cp:revision>
  <dcterms:created xsi:type="dcterms:W3CDTF">2022-10-20T07:48:00Z</dcterms:created>
  <dcterms:modified xsi:type="dcterms:W3CDTF">2024-07-16T10:49:00Z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